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39" w:rsidRDefault="00A41739" w:rsidP="00A4173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41739" w:rsidRDefault="00A41739" w:rsidP="00A4173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A41739" w:rsidRDefault="00A41739" w:rsidP="00A4173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A41739" w:rsidTr="00C300AD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1739" w:rsidRPr="00C3067B" w:rsidRDefault="00A41739" w:rsidP="00C300A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067B">
              <w:rPr>
                <w:color w:val="000000"/>
                <w:sz w:val="28"/>
                <w:szCs w:val="28"/>
              </w:rPr>
              <w:t>27.02.2015 г.</w:t>
            </w:r>
          </w:p>
        </w:tc>
        <w:tc>
          <w:tcPr>
            <w:tcW w:w="3107" w:type="dxa"/>
            <w:vAlign w:val="bottom"/>
          </w:tcPr>
          <w:p w:rsidR="00A41739" w:rsidRDefault="00A41739" w:rsidP="00C300AD">
            <w:pPr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A41739" w:rsidRDefault="00A41739" w:rsidP="00C300AD">
            <w:pPr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1739" w:rsidRPr="00C3067B" w:rsidRDefault="00A41739" w:rsidP="00A4173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3067B">
              <w:rPr>
                <w:color w:val="000000"/>
                <w:sz w:val="28"/>
                <w:szCs w:val="28"/>
              </w:rPr>
              <w:t>48/20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3067B">
              <w:rPr>
                <w:color w:val="000000"/>
                <w:sz w:val="28"/>
                <w:szCs w:val="28"/>
              </w:rPr>
              <w:t>-3</w:t>
            </w:r>
          </w:p>
        </w:tc>
      </w:tr>
      <w:tr w:rsidR="00A41739" w:rsidTr="00C300AD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1739" w:rsidRDefault="00A41739" w:rsidP="00C300AD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A41739" w:rsidRPr="00C3067B" w:rsidRDefault="00A41739" w:rsidP="00C300AD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C3067B"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41739" w:rsidRDefault="00A41739" w:rsidP="00C300AD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B20380" w:rsidRDefault="00B20380"/>
    <w:p w:rsidR="00A41739" w:rsidRDefault="00A41739"/>
    <w:p w:rsidR="005233F1" w:rsidRPr="005233F1" w:rsidRDefault="005233F1" w:rsidP="005233F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233F1">
        <w:rPr>
          <w:b/>
          <w:sz w:val="28"/>
          <w:szCs w:val="28"/>
        </w:rPr>
        <w:t>О направлении актуальных сведений о лицах, включенных в резерв составов участковых комиссий</w:t>
      </w:r>
    </w:p>
    <w:p w:rsidR="005233F1" w:rsidRDefault="005233F1" w:rsidP="00917D6E">
      <w:pPr>
        <w:spacing w:line="360" w:lineRule="auto"/>
        <w:ind w:firstLine="709"/>
        <w:jc w:val="both"/>
        <w:rPr>
          <w:sz w:val="28"/>
          <w:szCs w:val="28"/>
        </w:rPr>
      </w:pPr>
    </w:p>
    <w:p w:rsidR="00917D6E" w:rsidRDefault="00917D6E" w:rsidP="00917D6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A5116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</w:t>
      </w:r>
      <w:r w:rsidR="007A511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7A5116">
        <w:rPr>
          <w:bCs/>
          <w:sz w:val="28"/>
          <w:szCs w:val="28"/>
        </w:rPr>
        <w:t xml:space="preserve">26 </w:t>
      </w:r>
      <w:r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№152/1137-6,</w:t>
      </w:r>
      <w:r w:rsidR="007A51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егламент</w:t>
      </w:r>
      <w:r w:rsidR="007A511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</w:t>
      </w:r>
      <w:proofErr w:type="gramEnd"/>
      <w:r>
        <w:rPr>
          <w:color w:val="000000"/>
          <w:sz w:val="28"/>
          <w:szCs w:val="28"/>
        </w:rPr>
        <w:t xml:space="preserve"> из резерва составов участковых комиссий, обучением членов участковых избирательных комиссий, резерва составов участковых комиссий, утвержденного постановлением Центральной избирательной комиссии Российской Федерации от 26.12.2012 №</w:t>
      </w:r>
      <w:r>
        <w:rPr>
          <w:sz w:val="28"/>
          <w:szCs w:val="28"/>
        </w:rPr>
        <w:t>155/1158-6,</w:t>
      </w:r>
      <w:r w:rsidR="007A5116">
        <w:rPr>
          <w:sz w:val="28"/>
          <w:szCs w:val="28"/>
        </w:rPr>
        <w:t xml:space="preserve"> в связи с изменениями, внесенными Центральной избирательной комиссии Российской Федерации (постановление от 26.03.2014 №223/1436-6) в Порядок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4C7217">
        <w:rPr>
          <w:sz w:val="28"/>
          <w:szCs w:val="28"/>
        </w:rPr>
        <w:t xml:space="preserve">, </w:t>
      </w:r>
      <w:r w:rsidR="007A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статьи 2</w:t>
      </w:r>
      <w:r w:rsidR="004C7217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статьи </w:t>
      </w:r>
      <w:r w:rsidR="004C7217">
        <w:rPr>
          <w:sz w:val="28"/>
          <w:szCs w:val="28"/>
        </w:rPr>
        <w:t>22</w:t>
      </w:r>
      <w:r>
        <w:rPr>
          <w:sz w:val="28"/>
          <w:szCs w:val="28"/>
        </w:rPr>
        <w:t xml:space="preserve"> Избирательного кодекса Тверской области от 07.04.2003 №20-ЗО</w:t>
      </w:r>
      <w:r w:rsidR="004C72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7217">
        <w:rPr>
          <w:sz w:val="28"/>
          <w:szCs w:val="28"/>
        </w:rPr>
        <w:t xml:space="preserve">территориальная избирательная комиссия Пролетарского района 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A5116" w:rsidRDefault="007A5116" w:rsidP="005757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актуализации сведений о лицах, включенных в резерв составов участковых комиссий</w:t>
      </w:r>
      <w:r w:rsidR="004C7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</w:t>
      </w:r>
      <w:r w:rsidR="004C7217">
        <w:rPr>
          <w:sz w:val="28"/>
          <w:szCs w:val="28"/>
        </w:rPr>
        <w:t>ить</w:t>
      </w:r>
      <w:r>
        <w:rPr>
          <w:sz w:val="28"/>
          <w:szCs w:val="28"/>
        </w:rPr>
        <w:t xml:space="preserve">  </w:t>
      </w:r>
      <w:r w:rsidR="004C7217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документ</w:t>
      </w:r>
      <w:r w:rsidR="004C7217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4C7217">
        <w:rPr>
          <w:sz w:val="28"/>
          <w:szCs w:val="28"/>
        </w:rPr>
        <w:t>его</w:t>
      </w:r>
      <w:r>
        <w:rPr>
          <w:sz w:val="28"/>
          <w:szCs w:val="28"/>
        </w:rPr>
        <w:t xml:space="preserve"> смену фамилии лица, состоящего в резерве состава участковой комиссии №1036</w:t>
      </w:r>
      <w:r w:rsidR="004C7217">
        <w:rPr>
          <w:sz w:val="28"/>
          <w:szCs w:val="28"/>
        </w:rPr>
        <w:t xml:space="preserve">. </w:t>
      </w:r>
    </w:p>
    <w:p w:rsidR="004C7217" w:rsidRDefault="004C7217" w:rsidP="004C7217">
      <w:pPr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7608A9" w:rsidTr="007608A9">
        <w:tc>
          <w:tcPr>
            <w:tcW w:w="4320" w:type="dxa"/>
            <w:hideMark/>
          </w:tcPr>
          <w:p w:rsidR="007608A9" w:rsidRDefault="007608A9" w:rsidP="007608A9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7608A9" w:rsidRDefault="007608A9" w:rsidP="007608A9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7608A9" w:rsidRDefault="007608A9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Л.Д.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Пачалова</w:t>
            </w:r>
            <w:proofErr w:type="spellEnd"/>
          </w:p>
        </w:tc>
      </w:tr>
      <w:tr w:rsidR="007608A9" w:rsidTr="007608A9">
        <w:trPr>
          <w:trHeight w:val="161"/>
        </w:trPr>
        <w:tc>
          <w:tcPr>
            <w:tcW w:w="4320" w:type="dxa"/>
          </w:tcPr>
          <w:p w:rsidR="007608A9" w:rsidRDefault="007608A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608A9" w:rsidRDefault="007608A9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7608A9" w:rsidTr="007608A9">
        <w:trPr>
          <w:trHeight w:val="70"/>
        </w:trPr>
        <w:tc>
          <w:tcPr>
            <w:tcW w:w="4320" w:type="dxa"/>
            <w:hideMark/>
          </w:tcPr>
          <w:p w:rsidR="007608A9" w:rsidRDefault="007608A9" w:rsidP="007608A9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Секретарь </w:t>
            </w:r>
            <w:proofErr w:type="gramStart"/>
            <w:r>
              <w:rPr>
                <w:sz w:val="28"/>
                <w:szCs w:val="26"/>
              </w:rPr>
              <w:t>территориальной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7608A9" w:rsidRDefault="007608A9" w:rsidP="007608A9">
            <w:pPr>
              <w:spacing w:line="276" w:lineRule="auto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040" w:type="dxa"/>
            <w:vAlign w:val="bottom"/>
            <w:hideMark/>
          </w:tcPr>
          <w:p w:rsidR="007608A9" w:rsidRDefault="007608A9">
            <w:pPr>
              <w:pStyle w:val="2"/>
              <w:spacing w:line="276" w:lineRule="auto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 xml:space="preserve">                                     О.В.  Жукова </w:t>
            </w:r>
          </w:p>
        </w:tc>
      </w:tr>
    </w:tbl>
    <w:p w:rsidR="004C7217" w:rsidRDefault="004C7217" w:rsidP="004C7217">
      <w:pPr>
        <w:spacing w:line="360" w:lineRule="auto"/>
      </w:pPr>
    </w:p>
    <w:sectPr w:rsidR="004C7217" w:rsidSect="00B2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41739"/>
    <w:rsid w:val="00007583"/>
    <w:rsid w:val="00314298"/>
    <w:rsid w:val="003F5336"/>
    <w:rsid w:val="004C7217"/>
    <w:rsid w:val="005233F1"/>
    <w:rsid w:val="0057573C"/>
    <w:rsid w:val="007608A9"/>
    <w:rsid w:val="007A5116"/>
    <w:rsid w:val="007F1533"/>
    <w:rsid w:val="00917D6E"/>
    <w:rsid w:val="00A41739"/>
    <w:rsid w:val="00B20380"/>
    <w:rsid w:val="00B96269"/>
    <w:rsid w:val="00CA7238"/>
    <w:rsid w:val="00D418C8"/>
    <w:rsid w:val="00F3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8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4173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7608A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11</cp:revision>
  <dcterms:created xsi:type="dcterms:W3CDTF">2015-03-03T09:28:00Z</dcterms:created>
  <dcterms:modified xsi:type="dcterms:W3CDTF">2015-03-03T10:16:00Z</dcterms:modified>
</cp:coreProperties>
</file>